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57" w:right="425"/>
        <w:jc w:val="right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1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-57" w:right="425"/>
        <w:jc w:val="right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приказу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от__________ № __________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-57" w:right="425"/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-57" w:right="425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-57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Условия проведения Акции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-57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«Погаси долг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лицевому счету на дату оплаты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ООО «Газпром межрегионгаз Черкесск» освободит от уплаты пени»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-57" w:right="425"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37"/>
        <w:numPr>
          <w:ilvl w:val="0"/>
          <w:numId w:val="1"/>
        </w:numPr>
        <w:ind w:left="-57" w:right="425" w:firstLine="709"/>
        <w:jc w:val="center"/>
        <w:spacing w:after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rStyle w:val="838"/>
          <w:color w:val="000000"/>
          <w:sz w:val="28"/>
          <w:szCs w:val="28"/>
        </w:rPr>
        <w:t xml:space="preserve">Общие положения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ind w:left="652" w:right="425" w:firstLine="0"/>
        <w:jc w:val="center"/>
        <w:spacing w:after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numPr>
          <w:ilvl w:val="1"/>
          <w:numId w:val="1"/>
        </w:numPr>
        <w:ind w:left="0" w:firstLine="567"/>
        <w:jc w:val="both"/>
        <w:spacing w:after="0" w:line="240" w:lineRule="auto"/>
        <w:shd w:val="clear" w:color="auto" w:fill="ffffff"/>
        <w:tabs>
          <w:tab w:val="left" w:pos="1134" w:leader="none"/>
          <w:tab w:val="left" w:pos="127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астоящее положение разработано </w:t>
      </w:r>
      <w:r>
        <w:rPr>
          <w:color w:val="000000"/>
          <w:sz w:val="28"/>
          <w:szCs w:val="28"/>
        </w:rPr>
        <w:t xml:space="preserve">ООО «Газпром межрегионгаз Черкесск</w:t>
      </w:r>
      <w:r>
        <w:rPr>
          <w:color w:val="000000"/>
          <w:sz w:val="28"/>
          <w:szCs w:val="28"/>
        </w:rPr>
        <w:t xml:space="preserve">» (далее -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Организатор) и регламентирует сроки, условия участия и порядок проведения стимулирующей </w:t>
      </w:r>
      <w:r>
        <w:rPr>
          <w:color w:val="000000"/>
          <w:sz w:val="28"/>
          <w:szCs w:val="28"/>
        </w:rPr>
        <w:t xml:space="preserve">Акции «</w:t>
      </w:r>
      <w:r>
        <w:rPr>
          <w:color w:val="000000"/>
          <w:sz w:val="28"/>
          <w:szCs w:val="28"/>
        </w:rPr>
        <w:t xml:space="preserve">Погаси долг по лицевому счету</w:t>
      </w:r>
      <w:r>
        <w:rPr>
          <w:color w:val="000000"/>
          <w:sz w:val="28"/>
          <w:szCs w:val="28"/>
        </w:rPr>
        <w:t xml:space="preserve"> на дату оплаты</w:t>
      </w:r>
      <w:r>
        <w:rPr>
          <w:color w:val="000000"/>
          <w:sz w:val="28"/>
          <w:szCs w:val="28"/>
        </w:rPr>
        <w:t xml:space="preserve"> и ООО «Газпром межрегионгаз Черкесск» освободит от уплаты пени</w:t>
      </w:r>
      <w:r>
        <w:rPr>
          <w:color w:val="000000"/>
          <w:sz w:val="28"/>
          <w:szCs w:val="28"/>
        </w:rPr>
        <w:t xml:space="preserve">» (далее -</w:t>
      </w:r>
      <w:r>
        <w:rPr>
          <w:color w:val="000000"/>
          <w:sz w:val="28"/>
          <w:szCs w:val="28"/>
        </w:rPr>
        <w:t xml:space="preserve"> Акция).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43"/>
        <w:ind w:left="0"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Источниками информации об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Организаторе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сроках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условиях 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проведения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порядке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информирования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абонентов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ее результатах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являются: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843"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-корпоративный сайт: </w:t>
      </w:r>
      <w:hyperlink r:id="rId9" w:tooltip="https://mrgkchr.ru" w:history="1">
        <w:r>
          <w:rPr>
            <w:rStyle w:val="836"/>
            <w:rFonts w:ascii="Times New Roman" w:hAnsi="Times New Roman" w:eastAsia="Times New Roman" w:cs="Times New Roman"/>
            <w:sz w:val="28"/>
            <w:szCs w:val="28"/>
          </w:rPr>
          <w:t xml:space="preserve">https://mrgkchr.ru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официальн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страниц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сети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VK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ООО «Газпром межрегионгаз Черкесск» и АО «Газпром газораспределение Черкесск»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3"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ЛКА «Мой газ» и Газпром межрегионгаз Черкесск»;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информационные стенды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абонентских пунктов и а</w:t>
      </w:r>
      <w:r>
        <w:rPr>
          <w:rFonts w:ascii="Times New Roman" w:hAnsi="Times New Roman" w:cs="Times New Roman"/>
          <w:sz w:val="28"/>
          <w:szCs w:val="28"/>
        </w:rPr>
        <w:t xml:space="preserve">бонентского </w:t>
      </w:r>
      <w:r>
        <w:rPr>
          <w:rFonts w:ascii="Times New Roman" w:hAnsi="Times New Roman" w:cs="Times New Roman"/>
          <w:sz w:val="28"/>
          <w:szCs w:val="28"/>
        </w:rPr>
        <w:t xml:space="preserve">участка</w:t>
      </w:r>
      <w:r>
        <w:rPr>
          <w:rFonts w:ascii="Times New Roman" w:hAnsi="Times New Roman" w:cs="Times New Roman"/>
          <w:sz w:val="28"/>
          <w:szCs w:val="28"/>
        </w:rPr>
        <w:t xml:space="preserve">         ООО «Газпром межрегионгаз Черкесск»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ремонтно - эксплуатационных службах</w:t>
      </w:r>
      <w:r>
        <w:rPr>
          <w:rFonts w:ascii="Times New Roman" w:hAnsi="Times New Roman" w:cs="Times New Roman"/>
          <w:sz w:val="28"/>
          <w:szCs w:val="28"/>
        </w:rPr>
        <w:t xml:space="preserve"> АО «Газпром газораспределение Черкесск»;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3"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средства массовой информации (ООО «КЧР-Телеком»);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3"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 сайты социальных сетей АО «Газпром газораспределение Черкесск».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3"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Единый клиентский центр ООО «Газпром межрегионгаз Черкесск» и               АО «Газпром газораспределение Черкесск»;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43"/>
        <w:ind w:left="0" w:firstLine="0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- информационные ресурсы муниципальных администраций.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7"/>
        <w:ind w:left="1070" w:firstLine="0"/>
        <w:jc w:val="both"/>
        <w:spacing w:after="0" w:line="240" w:lineRule="auto"/>
        <w:shd w:val="clear" w:color="auto" w:fill="ffffff"/>
        <w:tabs>
          <w:tab w:val="left" w:pos="142" w:leader="none"/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ind w:left="-57" w:right="425" w:firstLine="709"/>
        <w:spacing w:after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numPr>
          <w:ilvl w:val="0"/>
          <w:numId w:val="1"/>
        </w:numPr>
        <w:ind w:left="-57" w:right="425" w:firstLine="709"/>
        <w:jc w:val="center"/>
        <w:spacing w:after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rStyle w:val="838"/>
          <w:color w:val="000000"/>
          <w:sz w:val="28"/>
          <w:szCs w:val="28"/>
        </w:rPr>
        <w:t xml:space="preserve">Цель Акции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ind w:left="652" w:right="425" w:firstLine="0"/>
        <w:jc w:val="center"/>
        <w:spacing w:after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ind w:firstLine="624"/>
        <w:jc w:val="both"/>
        <w:spacing w:after="0" w:line="240" w:lineRule="auto"/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Повы</w:t>
      </w:r>
      <w:r>
        <w:rPr>
          <w:color w:val="000000"/>
          <w:sz w:val="28"/>
          <w:szCs w:val="28"/>
        </w:rPr>
        <w:t xml:space="preserve">шение платежной дисциплины</w:t>
      </w:r>
      <w:r>
        <w:rPr>
          <w:color w:val="000000"/>
          <w:sz w:val="28"/>
          <w:szCs w:val="28"/>
        </w:rPr>
        <w:t xml:space="preserve">, сокращение задолженности </w:t>
      </w:r>
      <w:r>
        <w:rPr>
          <w:color w:val="000000"/>
          <w:sz w:val="28"/>
          <w:szCs w:val="28"/>
        </w:rPr>
        <w:t xml:space="preserve">абонентов</w:t>
      </w:r>
      <w:r>
        <w:rPr>
          <w:bCs/>
          <w:sz w:val="28"/>
          <w:szCs w:val="28"/>
        </w:rPr>
        <w:t xml:space="preserve"> - физических </w:t>
      </w:r>
      <w:r>
        <w:rPr>
          <w:bCs/>
          <w:sz w:val="28"/>
          <w:szCs w:val="28"/>
        </w:rPr>
        <w:t xml:space="preserve">лиц, </w:t>
      </w:r>
      <w:r>
        <w:rPr>
          <w:bCs/>
          <w:sz w:val="28"/>
          <w:szCs w:val="28"/>
        </w:rPr>
        <w:t xml:space="preserve">потребляющих коммунальные услуги, предоставляемые Организатором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ind w:firstLine="624"/>
        <w:jc w:val="both"/>
        <w:spacing w:after="0" w:line="240" w:lineRule="auto"/>
        <w:shd w:val="clear" w:color="auto" w:fill="ffffff"/>
        <w:rPr>
          <w:bCs/>
          <w:sz w:val="28"/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Обновление контактных данных </w:t>
      </w:r>
      <w:r>
        <w:rPr>
          <w:color w:val="000000"/>
          <w:sz w:val="28"/>
          <w:szCs w:val="28"/>
        </w:rPr>
        <w:t xml:space="preserve">абонентов - </w:t>
      </w:r>
      <w:r>
        <w:rPr>
          <w:bCs/>
          <w:sz w:val="28"/>
          <w:szCs w:val="28"/>
        </w:rPr>
        <w:t xml:space="preserve">физических лиц, потребляющих коммунальные услуги, предоставляемые Организатором.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7"/>
        <w:ind w:firstLine="624"/>
        <w:jc w:val="both"/>
        <w:spacing w:after="0" w:line="240" w:lineRule="auto"/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 xml:space="preserve">2.3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Сбор персональных данных </w:t>
      </w:r>
      <w:r>
        <w:rPr>
          <w:color w:val="000000"/>
          <w:sz w:val="28"/>
          <w:szCs w:val="28"/>
        </w:rPr>
        <w:t xml:space="preserve">абонентов - </w:t>
      </w:r>
      <w:r>
        <w:rPr>
          <w:bCs/>
          <w:sz w:val="28"/>
          <w:szCs w:val="28"/>
        </w:rPr>
        <w:t xml:space="preserve">физических лиц, потребляющих коммунальные услуги, предоставляемые Организатором</w:t>
      </w:r>
      <w:r>
        <w:rPr>
          <w:bCs/>
          <w:sz w:val="28"/>
          <w:szCs w:val="28"/>
        </w:rPr>
        <w:t xml:space="preserve">, получение согласия на обработку персональных данных</w:t>
      </w:r>
      <w:r>
        <w:rPr>
          <w:bCs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ind w:left="-57" w:right="425" w:firstLine="709"/>
        <w:spacing w:after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numPr>
          <w:ilvl w:val="0"/>
          <w:numId w:val="1"/>
        </w:numPr>
        <w:ind w:left="-57" w:right="425" w:firstLine="709"/>
        <w:jc w:val="center"/>
        <w:spacing w:after="0" w:line="240" w:lineRule="auto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Сроки проведения Акции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37"/>
        <w:ind w:left="652" w:right="425" w:firstLine="0"/>
        <w:jc w:val="center"/>
        <w:spacing w:after="0" w:line="240" w:lineRule="auto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37"/>
        <w:numPr>
          <w:ilvl w:val="1"/>
          <w:numId w:val="1"/>
        </w:numPr>
        <w:ind w:left="0" w:firstLine="624"/>
        <w:jc w:val="both"/>
        <w:spacing w:after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Сроки проведения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кции: с 01.10</w:t>
      </w:r>
      <w:r>
        <w:rPr>
          <w:color w:val="000000"/>
          <w:sz w:val="28"/>
          <w:szCs w:val="28"/>
        </w:rPr>
        <w:t xml:space="preserve">.20</w:t>
      </w:r>
      <w:r>
        <w:rPr>
          <w:color w:val="000000"/>
          <w:sz w:val="28"/>
          <w:szCs w:val="28"/>
        </w:rPr>
        <w:t xml:space="preserve">25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31</w:t>
      </w:r>
      <w:r>
        <w:rPr>
          <w:color w:val="000000"/>
          <w:sz w:val="28"/>
          <w:szCs w:val="28"/>
        </w:rPr>
        <w:t xml:space="preserve">.12</w:t>
      </w:r>
      <w:r>
        <w:rPr>
          <w:color w:val="000000"/>
          <w:sz w:val="28"/>
          <w:szCs w:val="28"/>
        </w:rPr>
        <w:t xml:space="preserve">.2025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включительно.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numPr>
          <w:ilvl w:val="1"/>
          <w:numId w:val="1"/>
        </w:numPr>
        <w:ind w:left="0" w:firstLine="624"/>
        <w:jc w:val="both"/>
        <w:spacing w:after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Сроки информационного сопровождения Акции: с 01</w:t>
      </w:r>
      <w:r>
        <w:rPr>
          <w:color w:val="000000"/>
          <w:sz w:val="28"/>
          <w:szCs w:val="28"/>
        </w:rPr>
        <w:t xml:space="preserve">.10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2025</w:t>
      </w:r>
      <w:r>
        <w:rPr>
          <w:color w:val="000000"/>
          <w:sz w:val="28"/>
          <w:szCs w:val="28"/>
        </w:rPr>
        <w:t xml:space="preserve"> по 31.12</w:t>
      </w:r>
      <w:r>
        <w:rPr>
          <w:color w:val="000000"/>
          <w:sz w:val="28"/>
          <w:szCs w:val="28"/>
        </w:rPr>
        <w:t xml:space="preserve">.2025</w:t>
      </w:r>
      <w:r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включительно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numPr>
          <w:ilvl w:val="1"/>
          <w:numId w:val="1"/>
        </w:numPr>
        <w:ind w:left="0" w:firstLine="624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Организатор имеет право изменить сроки и условия проведения Акции.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ind w:right="425"/>
        <w:spacing w:after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ind w:right="425"/>
        <w:spacing w:after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numPr>
          <w:ilvl w:val="0"/>
          <w:numId w:val="1"/>
        </w:numPr>
        <w:ind w:left="0" w:right="425" w:firstLine="0"/>
        <w:jc w:val="center"/>
        <w:spacing w:after="0" w:line="240" w:lineRule="auto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Условия участия в Акции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37"/>
        <w:ind w:left="0" w:right="425" w:firstLine="0"/>
        <w:jc w:val="center"/>
        <w:spacing w:after="0" w:line="240" w:lineRule="auto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37"/>
        <w:numPr>
          <w:ilvl w:val="1"/>
          <w:numId w:val="1"/>
        </w:numPr>
        <w:ind w:left="0" w:firstLine="567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Участником Акции может быть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ind w:firstLine="567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физическое лицо (далее - Абонент) - собственник или наниматель жилого помещения в многоквартирном доме, жилом доме или домовладении</w:t>
      </w:r>
      <w:r>
        <w:rPr>
          <w:bCs/>
          <w:sz w:val="28"/>
          <w:szCs w:val="28"/>
        </w:rPr>
        <w:t xml:space="preserve">, с которым у Организатора заключен договор </w:t>
      </w:r>
      <w:r>
        <w:rPr>
          <w:bCs/>
          <w:sz w:val="28"/>
          <w:szCs w:val="28"/>
        </w:rPr>
        <w:t xml:space="preserve">поставки газа</w:t>
      </w:r>
      <w:r>
        <w:rPr>
          <w:bCs/>
          <w:sz w:val="28"/>
          <w:szCs w:val="28"/>
        </w:rPr>
        <w:t xml:space="preserve">;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37"/>
        <w:ind w:left="-57" w:firstLine="567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абонент должен </w:t>
      </w:r>
      <w:r>
        <w:rPr>
          <w:bCs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период дейс</w:t>
      </w:r>
      <w:r>
        <w:rPr>
          <w:color w:val="000000"/>
          <w:sz w:val="28"/>
          <w:szCs w:val="28"/>
        </w:rPr>
        <w:t xml:space="preserve">твия акции с 01.10</w:t>
      </w:r>
      <w:r>
        <w:rPr>
          <w:color w:val="000000"/>
          <w:sz w:val="28"/>
          <w:szCs w:val="28"/>
        </w:rPr>
        <w:t xml:space="preserve">.2025</w:t>
      </w:r>
      <w:r>
        <w:rPr>
          <w:color w:val="000000"/>
          <w:sz w:val="28"/>
          <w:szCs w:val="28"/>
        </w:rPr>
        <w:t xml:space="preserve"> по 31.12</w:t>
      </w:r>
      <w:r>
        <w:rPr>
          <w:color w:val="000000"/>
          <w:sz w:val="28"/>
          <w:szCs w:val="28"/>
        </w:rPr>
        <w:t xml:space="preserve">.2025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включительно </w:t>
      </w:r>
      <w:r>
        <w:rPr>
          <w:color w:val="000000"/>
          <w:sz w:val="28"/>
          <w:szCs w:val="28"/>
        </w:rPr>
        <w:t xml:space="preserve">полностью оплатить имеющуюся задолженность по оплате </w:t>
      </w:r>
      <w:r>
        <w:rPr>
          <w:bCs/>
          <w:sz w:val="28"/>
          <w:szCs w:val="28"/>
        </w:rPr>
        <w:t xml:space="preserve">коммунальных услуг, предоставленных ему Организатором</w:t>
      </w:r>
      <w:r>
        <w:rPr>
          <w:bCs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numPr>
          <w:ilvl w:val="1"/>
          <w:numId w:val="1"/>
        </w:numPr>
        <w:ind w:left="-57" w:firstLine="567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участия в акции А</w:t>
      </w:r>
      <w:r>
        <w:rPr>
          <w:color w:val="000000"/>
          <w:sz w:val="28"/>
          <w:szCs w:val="28"/>
        </w:rPr>
        <w:t xml:space="preserve">бонент </w:t>
      </w:r>
      <w:r>
        <w:rPr>
          <w:color w:val="000000"/>
          <w:sz w:val="28"/>
          <w:szCs w:val="28"/>
        </w:rPr>
        <w:t xml:space="preserve">должен </w:t>
      </w:r>
      <w:r>
        <w:rPr>
          <w:color w:val="000000"/>
          <w:sz w:val="28"/>
          <w:szCs w:val="28"/>
        </w:rPr>
        <w:t xml:space="preserve">в период с 01.10</w:t>
      </w:r>
      <w:r>
        <w:rPr>
          <w:color w:val="000000"/>
          <w:sz w:val="28"/>
          <w:szCs w:val="28"/>
        </w:rPr>
        <w:t xml:space="preserve">.2025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31.12</w:t>
      </w:r>
      <w:r>
        <w:rPr>
          <w:color w:val="000000"/>
          <w:sz w:val="28"/>
          <w:szCs w:val="28"/>
        </w:rPr>
        <w:t xml:space="preserve">.2025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обратиться</w:t>
      </w:r>
      <w:r>
        <w:rPr>
          <w:color w:val="000000"/>
          <w:sz w:val="28"/>
          <w:szCs w:val="28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абонентский</w:t>
      </w:r>
      <w:r>
        <w:rPr>
          <w:color w:val="000000"/>
          <w:sz w:val="28"/>
          <w:szCs w:val="28"/>
        </w:rPr>
        <w:t xml:space="preserve"> участок</w:t>
      </w:r>
      <w:r>
        <w:rPr>
          <w:color w:val="000000"/>
          <w:sz w:val="28"/>
          <w:szCs w:val="28"/>
        </w:rPr>
        <w:t xml:space="preserve"> и абонентские пункты ООО «Газпром межрегионгаз Черкесск» по месту нахождения газифицированного домовладения с обязательным выполнением условий: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ind w:left="-57" w:firstLine="567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100 % погашение дебиторской задолженности на дату обращения в период проведения акции (а также не более чем за 30 дней, до момента начала проведения акции) по услуге «Газоснабжение природным газом»;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ind w:left="-57" w:firstLine="567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100% погашение дебиторской задолженности по услуге «Госпошлина» (при наличии);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ind w:left="-57" w:firstLine="567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100% погашение дебиторской задолженности по услуге «Изменение режима газоснабжения» (при наличии);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ind w:left="-57" w:firstLine="567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при наличии действующего договора на техническое обслуживание;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ind w:left="-57" w:firstLine="567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 при наличии заключенного индивидуального договора на поставку газа;</w:t>
      </w:r>
      <w:r>
        <w:rPr>
          <w:bCs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numPr>
          <w:ilvl w:val="1"/>
          <w:numId w:val="1"/>
        </w:numPr>
        <w:ind w:left="-57" w:firstLine="567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наличии у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бонента нескольких лицевых счетов или договоров </w:t>
      </w:r>
      <w:r>
        <w:rPr>
          <w:color w:val="000000"/>
          <w:sz w:val="28"/>
          <w:szCs w:val="28"/>
        </w:rPr>
        <w:t xml:space="preserve">он</w:t>
      </w:r>
      <w:r>
        <w:rPr>
          <w:color w:val="000000"/>
          <w:sz w:val="28"/>
          <w:szCs w:val="28"/>
        </w:rPr>
        <w:t xml:space="preserve"> может </w:t>
      </w:r>
      <w:r>
        <w:rPr>
          <w:color w:val="000000"/>
          <w:sz w:val="28"/>
          <w:szCs w:val="28"/>
        </w:rPr>
        <w:t xml:space="preserve">участвовать в Акции по каждому из них в отдельности.</w:t>
      </w:r>
      <w:r>
        <w:rPr>
          <w:color w:val="000000"/>
          <w:sz w:val="28"/>
          <w:szCs w:val="28"/>
        </w:rPr>
        <w:t xml:space="preserve"> В этом случа</w:t>
      </w:r>
      <w:r>
        <w:rPr>
          <w:color w:val="000000"/>
          <w:sz w:val="28"/>
          <w:szCs w:val="28"/>
        </w:rPr>
        <w:t xml:space="preserve">е комплект документов, указанный</w:t>
      </w:r>
      <w:r>
        <w:rPr>
          <w:color w:val="000000"/>
          <w:sz w:val="28"/>
          <w:szCs w:val="28"/>
        </w:rPr>
        <w:t xml:space="preserve"> в п.4.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предоставляется отдельно по каждому лицевому счету.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ind w:left="-57" w:right="425" w:firstLine="482"/>
        <w:jc w:val="both"/>
        <w:spacing w:after="0" w:line="240" w:lineRule="auto"/>
        <w:shd w:val="clear" w:color="auto" w:fill="ffffff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</w:r>
      <w:r>
        <w:rPr>
          <w:bCs/>
          <w:sz w:val="28"/>
          <w:szCs w:val="28"/>
        </w:rPr>
        <w:t xml:space="preserve">4.4. При  неисполнении одного из условий, указанных в пунктах 4.1 и 4.2 заявления  на участие в акции </w:t>
      </w:r>
      <w:r>
        <w:rPr>
          <w:bCs/>
          <w:sz w:val="28"/>
          <w:szCs w:val="28"/>
        </w:rPr>
        <w:t xml:space="preserve">не принимаются.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37"/>
        <w:ind w:left="-57" w:right="425" w:firstLine="709"/>
        <w:jc w:val="both"/>
        <w:spacing w:after="0" w:line="24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37"/>
        <w:numPr>
          <w:ilvl w:val="0"/>
          <w:numId w:val="1"/>
        </w:numPr>
        <w:ind w:left="-57" w:right="425" w:firstLine="709"/>
        <w:jc w:val="center"/>
        <w:spacing w:after="0" w:line="240" w:lineRule="auto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 xml:space="preserve">приема заявления 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бонента об участии в Акции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ind w:left="652" w:right="425" w:firstLine="0"/>
        <w:jc w:val="center"/>
        <w:spacing w:after="0" w:line="240" w:lineRule="auto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ind w:firstLine="567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При обращении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бонента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абонентский пункт или абонентский участок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вопросу участия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Акции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оператор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обслуживанию клиентов предоставляет Абоненту бланк заявления.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ind w:firstLine="567"/>
        <w:jc w:val="both"/>
        <w:spacing w:after="0" w:line="240" w:lineRule="auto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В случае личного обращения Абонент </w:t>
      </w:r>
      <w:r>
        <w:rPr>
          <w:sz w:val="28"/>
          <w:szCs w:val="28"/>
        </w:rPr>
        <w:t xml:space="preserve">предоставляет </w:t>
      </w:r>
      <w:r>
        <w:rPr>
          <w:sz w:val="28"/>
          <w:szCs w:val="28"/>
        </w:rPr>
        <w:t xml:space="preserve">оператору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абонентского пункта или абонентского участка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заполненное заявление </w:t>
      </w:r>
      <w:r>
        <w:rPr>
          <w:sz w:val="28"/>
          <w:szCs w:val="28"/>
        </w:rPr>
        <w:t xml:space="preserve">с приложением следующих документов: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договор на поставку газа;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оговор на техническое обслуживание газовых приборов;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квитанцию о погашении задолженности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дату оплаты.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bCs/>
          <w:sz w:val="28"/>
          <w:szCs w:val="28"/>
        </w:rPr>
        <w:t xml:space="preserve">ООО «Газпром межрегионгаз Черкесск»</w:t>
      </w:r>
      <w:r>
        <w:rPr>
          <w:rFonts w:ascii="Times New Roman" w:hAnsi="Times New Roman" w:cs="Times New Roman"/>
          <w:bCs/>
          <w:sz w:val="28"/>
          <w:szCs w:val="28"/>
        </w:rPr>
        <w:t xml:space="preserve">: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проверяет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наличие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приложенных к заявлению в соответствии с п. 5.2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5.4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Ежедневно,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период действия Акции,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оператор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ООО «Газпром межрегионгаз </w:t>
      </w:r>
      <w:r>
        <w:rPr>
          <w:rFonts w:ascii="Times New Roman" w:hAnsi="Times New Roman" w:cs="Times New Roman"/>
          <w:bCs/>
          <w:sz w:val="28"/>
          <w:szCs w:val="28"/>
        </w:rPr>
        <w:t xml:space="preserve">Черкесск»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направляет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заявлени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Абонентов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участие в Акции на согласование начальнику абонентского пункта или абонентского участка.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right="425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837"/>
        <w:numPr>
          <w:ilvl w:val="0"/>
          <w:numId w:val="1"/>
        </w:numPr>
        <w:ind w:left="-113" w:right="425" w:firstLine="709"/>
        <w:jc w:val="center"/>
        <w:spacing w:after="0" w:line="240" w:lineRule="auto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 xml:space="preserve">проведения Акции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ind w:left="596" w:right="425" w:firstLine="0"/>
        <w:jc w:val="center"/>
        <w:spacing w:after="0" w:line="240" w:lineRule="auto"/>
        <w:shd w:val="clear" w:color="auto" w:fill="ffff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Абонентам, выполнившим условия </w:t>
      </w:r>
      <w:r>
        <w:rPr>
          <w:rFonts w:ascii="Times New Roman" w:hAnsi="Times New Roman" w:cs="Times New Roman"/>
          <w:sz w:val="28"/>
          <w:szCs w:val="28"/>
        </w:rPr>
        <w:t xml:space="preserve">участия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Акции,</w:t>
      </w:r>
      <w:r>
        <w:rPr>
          <w:rFonts w:ascii="Times New Roman" w:hAnsi="Times New Roman" w:cs="Times New Roman"/>
          <w:sz w:val="28"/>
          <w:szCs w:val="28"/>
        </w:rPr>
        <w:t xml:space="preserve"> указанные в п.4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Организатор не начисляет пени, которые Абонент обязан оплатить Организатору </w:t>
      </w:r>
      <w:r>
        <w:rPr>
          <w:rFonts w:ascii="Times New Roman" w:hAnsi="Times New Roman" w:cs="Times New Roman"/>
          <w:sz w:val="28"/>
          <w:szCs w:val="28"/>
        </w:rPr>
        <w:t xml:space="preserve">за просрочку оплаты коммунальных услуг Организатора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день фактической оплаты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просроченной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задолженности.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Еженедельно </w:t>
      </w:r>
      <w:r>
        <w:rPr>
          <w:rFonts w:ascii="Times New Roman" w:hAnsi="Times New Roman" w:cs="Times New Roman"/>
          <w:sz w:val="28"/>
          <w:szCs w:val="28"/>
        </w:rPr>
        <w:t xml:space="preserve">на имя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генерального директора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газа</w:t>
      </w:r>
      <w:r>
        <w:rPr>
          <w:rFonts w:ascii="Times New Roman" w:hAnsi="Times New Roman" w:cs="Times New Roman"/>
          <w:sz w:val="28"/>
          <w:szCs w:val="28"/>
        </w:rPr>
        <w:t xml:space="preserve"> и в отдел по работе с населением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служебная записка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реестром Абонентов</w:t>
      </w:r>
      <w:r>
        <w:rPr>
          <w:rFonts w:ascii="Times New Roman" w:hAnsi="Times New Roman" w:cs="Times New Roman"/>
          <w:sz w:val="28"/>
          <w:szCs w:val="28"/>
        </w:rPr>
        <w:t xml:space="preserve">, принявших участие в Акции  за</w:t>
      </w:r>
      <w:r>
        <w:rPr>
          <w:rFonts w:ascii="Times New Roman" w:hAnsi="Times New Roman" w:cs="Times New Roman"/>
          <w:sz w:val="28"/>
          <w:szCs w:val="28"/>
        </w:rPr>
        <w:t xml:space="preserve"> период с 01</w:t>
      </w:r>
      <w:r>
        <w:rPr>
          <w:rFonts w:ascii="Times New Roman" w:hAnsi="Times New Roman" w:cs="Times New Roman"/>
          <w:sz w:val="28"/>
          <w:szCs w:val="28"/>
        </w:rPr>
        <w:t xml:space="preserve">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31.12</w:t>
      </w:r>
      <w:r>
        <w:rPr>
          <w:rFonts w:ascii="Times New Roman" w:hAnsi="Times New Roman" w:cs="Times New Roman"/>
          <w:sz w:val="28"/>
          <w:szCs w:val="28"/>
        </w:rPr>
        <w:t xml:space="preserve">.2025,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подписью начальников абонентских пунктов и абонентского участка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>
        <w:rPr>
          <w:rFonts w:ascii="Times New Roman" w:hAnsi="Times New Roman" w:cs="Times New Roman"/>
          <w:sz w:val="28"/>
          <w:szCs w:val="28"/>
        </w:rPr>
        <w:t xml:space="preserve">на бумажном носителе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в электронном виде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указ</w:t>
      </w:r>
      <w:r>
        <w:rPr>
          <w:rFonts w:ascii="Times New Roman" w:hAnsi="Times New Roman" w:cs="Times New Roman"/>
          <w:sz w:val="28"/>
          <w:szCs w:val="28"/>
        </w:rPr>
        <w:t xml:space="preserve">анием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ФИО абонента;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адрес;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номер лицевого счета по которому имелась просроченная задолженность;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размер задолженности </w:t>
      </w:r>
      <w:r>
        <w:rPr>
          <w:rFonts w:ascii="Times New Roman" w:hAnsi="Times New Roman" w:cs="Times New Roman"/>
          <w:sz w:val="28"/>
          <w:szCs w:val="28"/>
        </w:rPr>
        <w:t xml:space="preserve">на дату оплаты.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сумму</w:t>
      </w:r>
      <w:r>
        <w:rPr>
          <w:rFonts w:ascii="Times New Roman" w:hAnsi="Times New Roman" w:cs="Times New Roman"/>
          <w:sz w:val="28"/>
          <w:szCs w:val="28"/>
        </w:rPr>
        <w:t xml:space="preserve"> оплаты, </w:t>
      </w:r>
      <w:r>
        <w:rPr>
          <w:rFonts w:ascii="Times New Roman" w:hAnsi="Times New Roman" w:cs="Times New Roman"/>
          <w:sz w:val="28"/>
          <w:szCs w:val="28"/>
        </w:rPr>
        <w:t xml:space="preserve">учтенн</w:t>
      </w:r>
      <w:r>
        <w:rPr>
          <w:rFonts w:ascii="Times New Roman" w:hAnsi="Times New Roman" w:cs="Times New Roman"/>
          <w:sz w:val="28"/>
          <w:szCs w:val="28"/>
        </w:rPr>
        <w:t xml:space="preserve">ой</w:t>
      </w:r>
      <w:r>
        <w:rPr>
          <w:rFonts w:ascii="Times New Roman" w:hAnsi="Times New Roman" w:cs="Times New Roman"/>
          <w:sz w:val="28"/>
          <w:szCs w:val="28"/>
        </w:rPr>
        <w:t xml:space="preserve"> на лицевом счете</w:t>
      </w:r>
      <w:r>
        <w:rPr>
          <w:rFonts w:ascii="Times New Roman" w:hAnsi="Times New Roman" w:cs="Times New Roman"/>
          <w:sz w:val="28"/>
          <w:szCs w:val="28"/>
        </w:rPr>
        <w:t xml:space="preserve"> Абонента;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дату оплаты;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пени, подлежащей корректировке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1"/>
        <w:jc w:val="right"/>
        <w:tabs>
          <w:tab w:val="left" w:pos="993" w:leader="none"/>
          <w:tab w:val="left" w:pos="1134" w:leader="none"/>
          <w:tab w:val="left" w:pos="6105" w:leader="none"/>
        </w:tabs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color w:val="auto"/>
          <w:highlight w:val="none"/>
        </w:rPr>
      </w:r>
      <w:r>
        <w:rPr>
          <w:rFonts w:ascii="Times New Roman" w:hAnsi="Times New Roman"/>
          <w:b w:val="0"/>
          <w:bCs w:val="0"/>
          <w:color w:val="auto"/>
        </w:rPr>
      </w:r>
      <w:r>
        <w:rPr>
          <w:rFonts w:ascii="Times New Roman" w:hAnsi="Times New Roman"/>
          <w:b w:val="0"/>
          <w:bCs w:val="0"/>
          <w:color w:val="auto"/>
        </w:rPr>
      </w:r>
    </w:p>
    <w:p>
      <w:pPr>
        <w:pStyle w:val="831"/>
        <w:jc w:val="right"/>
        <w:tabs>
          <w:tab w:val="left" w:pos="993" w:leader="none"/>
          <w:tab w:val="left" w:pos="1134" w:leader="none"/>
          <w:tab w:val="left" w:pos="6105" w:leader="none"/>
        </w:tabs>
        <w:rPr>
          <w:rFonts w:ascii="Times New Roman" w:hAnsi="Times New Roman"/>
          <w:b w:val="0"/>
          <w:bCs w:val="0"/>
          <w:color w:val="auto"/>
          <w:highlight w:val="none"/>
        </w:rPr>
      </w:pPr>
      <w:r>
        <w:rPr>
          <w:rFonts w:ascii="Times New Roman" w:hAnsi="Times New Roman"/>
          <w:b w:val="0"/>
          <w:bCs w:val="0"/>
          <w:color w:val="auto"/>
          <w:highlight w:val="none"/>
        </w:rPr>
      </w:r>
      <w:r>
        <w:rPr>
          <w:rFonts w:ascii="Times New Roman" w:hAnsi="Times New Roman"/>
          <w:b w:val="0"/>
          <w:bCs w:val="0"/>
          <w:color w:val="auto"/>
          <w:highlight w:val="none"/>
        </w:rPr>
      </w:r>
      <w:r>
        <w:rPr>
          <w:rFonts w:ascii="Times New Roman" w:hAnsi="Times New Roman"/>
          <w:b w:val="0"/>
          <w:bCs w:val="0"/>
          <w:color w:val="auto"/>
          <w:highlight w:val="none"/>
        </w:rPr>
      </w:r>
    </w:p>
    <w:p>
      <w:pPr>
        <w:pStyle w:val="831"/>
        <w:jc w:val="right"/>
        <w:tabs>
          <w:tab w:val="left" w:pos="993" w:leader="none"/>
          <w:tab w:val="left" w:pos="1134" w:leader="none"/>
          <w:tab w:val="left" w:pos="6105" w:leader="none"/>
        </w:tabs>
        <w:rPr>
          <w:rFonts w:ascii="Times New Roman" w:hAnsi="Times New Roman"/>
          <w:b w:val="0"/>
          <w:bCs w:val="0"/>
          <w:color w:val="auto"/>
          <w:highlight w:val="none"/>
        </w:rPr>
      </w:pPr>
      <w:r>
        <w:rPr>
          <w:rFonts w:ascii="Times New Roman" w:hAnsi="Times New Roman"/>
          <w:b w:val="0"/>
          <w:bCs w:val="0"/>
          <w:color w:val="auto"/>
          <w:highlight w:val="none"/>
        </w:rPr>
      </w:r>
      <w:r>
        <w:rPr>
          <w:rFonts w:ascii="Times New Roman" w:hAnsi="Times New Roman"/>
          <w:b w:val="0"/>
          <w:bCs w:val="0"/>
          <w:color w:val="auto"/>
          <w:highlight w:val="none"/>
        </w:rPr>
      </w:r>
      <w:r>
        <w:rPr>
          <w:rFonts w:ascii="Times New Roman" w:hAnsi="Times New Roman"/>
          <w:b w:val="0"/>
          <w:bCs w:val="0"/>
          <w:color w:val="auto"/>
          <w:highlight w:val="none"/>
        </w:rPr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1"/>
        <w:jc w:val="right"/>
        <w:tabs>
          <w:tab w:val="left" w:pos="993" w:leader="none"/>
          <w:tab w:val="left" w:pos="1134" w:leader="none"/>
          <w:tab w:val="left" w:pos="6105" w:leader="none"/>
        </w:tabs>
        <w:rPr>
          <w:rFonts w:ascii="Times New Roman" w:hAnsi="Times New Roman"/>
          <w:b w:val="0"/>
          <w:bCs w:val="0"/>
          <w:color w:val="auto"/>
          <w:highlight w:val="none"/>
        </w:rPr>
      </w:pPr>
      <w:r>
        <w:rPr>
          <w:rFonts w:ascii="Times New Roman" w:hAnsi="Times New Roman"/>
          <w:b w:val="0"/>
          <w:color w:val="auto"/>
        </w:rPr>
        <w:t xml:space="preserve">П</w:t>
      </w:r>
      <w:r>
        <w:rPr>
          <w:rFonts w:ascii="Times New Roman" w:hAnsi="Times New Roman"/>
          <w:b w:val="0"/>
          <w:color w:val="auto"/>
        </w:rPr>
        <w:t xml:space="preserve">риложение</w:t>
      </w:r>
      <w:r>
        <w:rPr>
          <w:rFonts w:ascii="Times New Roman" w:hAnsi="Times New Roman"/>
          <w:b w:val="0"/>
          <w:color w:val="auto"/>
        </w:rPr>
        <w:t xml:space="preserve"> №</w:t>
      </w:r>
      <w:r>
        <w:rPr>
          <w:rFonts w:ascii="Times New Roman" w:hAnsi="Times New Roman"/>
          <w:b w:val="0"/>
          <w:color w:val="auto"/>
        </w:rPr>
        <w:t xml:space="preserve"> </w:t>
      </w:r>
      <w:r>
        <w:rPr>
          <w:rFonts w:ascii="Times New Roman" w:hAnsi="Times New Roman"/>
          <w:b w:val="0"/>
          <w:color w:val="auto"/>
        </w:rPr>
        <w:t xml:space="preserve">2</w:t>
      </w:r>
      <w:r>
        <w:rPr>
          <w:rFonts w:ascii="Times New Roman" w:hAnsi="Times New Roman"/>
          <w:b w:val="0"/>
          <w:bCs w:val="0"/>
          <w:color w:val="auto"/>
          <w:highlight w:val="none"/>
        </w:rPr>
      </w:r>
      <w:r>
        <w:rPr>
          <w:rFonts w:ascii="Times New Roman" w:hAnsi="Times New Roman"/>
          <w:b w:val="0"/>
          <w:bCs w:val="0"/>
          <w:color w:val="auto"/>
          <w:highlight w:val="none"/>
        </w:rPr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от __________ № 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25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заявления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Абонента 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участии в Акции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5"/>
        <w:gridCol w:w="5754"/>
      </w:tblGrid>
      <w:tr>
        <w:tblPrEx/>
        <w:trPr/>
        <w:tc>
          <w:tcPr>
            <w:tcW w:w="5778" w:type="dxa"/>
            <w:textDirection w:val="lrTb"/>
            <w:noWrap w:val="false"/>
          </w:tcPr>
          <w:p>
            <w:pPr>
              <w:ind w:right="425"/>
              <w:jc w:val="right"/>
              <w:spacing w:after="0"/>
              <w:tabs>
                <w:tab w:val="left" w:pos="567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17" w:type="dxa"/>
            <w:textDirection w:val="lrTb"/>
            <w:noWrap w:val="false"/>
          </w:tcPr>
          <w:tbl>
            <w:tblPr>
              <w:tblW w:w="5514" w:type="dxa"/>
              <w:tblLook w:val="04A0" w:firstRow="1" w:lastRow="0" w:firstColumn="1" w:lastColumn="0" w:noHBand="0" w:noVBand="1"/>
            </w:tblPr>
            <w:tblGrid>
              <w:gridCol w:w="5538"/>
            </w:tblGrid>
            <w:tr>
              <w:tblPrEx/>
              <w:trPr>
                <w:trHeight w:val="4407"/>
              </w:trPr>
              <w:tc>
                <w:tcPr>
                  <w:tcW w:w="5514" w:type="dxa"/>
                  <w:textDirection w:val="lrTb"/>
                  <w:noWrap w:val="false"/>
                </w:tcPr>
                <w:p>
                  <w:pPr>
                    <w:ind w:right="-78"/>
                    <w:spacing w:after="0" w:line="240" w:lineRule="auto"/>
                    <w:tabs>
                      <w:tab w:val="left" w:pos="5670" w:leader="none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Генеральному директору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ind w:right="-78"/>
                    <w:spacing w:after="0" w:line="240" w:lineRule="auto"/>
                    <w:tabs>
                      <w:tab w:val="left" w:pos="5670" w:leader="none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ООО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Газпром межрегионгаз Черкесск»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ind w:right="-78"/>
                    <w:spacing w:after="0" w:line="240" w:lineRule="auto"/>
                    <w:tabs>
                      <w:tab w:val="left" w:pos="5670" w:leader="none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О.Л.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Дергачеву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ind w:right="-78"/>
                    <w:spacing w:after="0" w:line="240" w:lineRule="auto"/>
                    <w:tabs>
                      <w:tab w:val="left" w:pos="5670" w:leader="none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ind w:right="-78" w:firstLine="1"/>
                    <w:spacing w:after="0" w:line="240" w:lineRule="auto"/>
                    <w:tabs>
                      <w:tab w:val="left" w:pos="5670" w:leader="none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Ф.И.О.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абонента_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ind w:right="-78" w:firstLine="1"/>
                    <w:spacing w:after="0" w:line="240" w:lineRule="auto"/>
                    <w:tabs>
                      <w:tab w:val="left" w:pos="5670" w:leader="none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 л/с 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ind w:right="-78" w:firstLine="1"/>
                    <w:spacing w:after="0" w:line="240" w:lineRule="auto"/>
                    <w:tabs>
                      <w:tab w:val="left" w:pos="5670" w:leader="none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Адрес: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ind w:right="-78" w:firstLine="1"/>
                    <w:spacing w:after="0" w:line="240" w:lineRule="auto"/>
                    <w:tabs>
                      <w:tab w:val="left" w:pos="5670" w:leader="none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ind w:right="-78"/>
                    <w:spacing w:after="0" w:line="240" w:lineRule="auto"/>
                    <w:tabs>
                      <w:tab w:val="left" w:pos="5670" w:leader="none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Контактны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 данные: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ind w:right="-78"/>
                    <w:spacing w:after="0" w:line="240" w:lineRule="auto"/>
                    <w:tabs>
                      <w:tab w:val="left" w:pos="5670" w:leader="none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телефон: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ind w:right="-361"/>
                    <w:spacing w:after="0" w:line="240" w:lineRule="auto"/>
                    <w:tabs>
                      <w:tab w:val="left" w:pos="5670" w:leader="none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e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mail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 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spacing w:after="0" w:line="240" w:lineRule="auto"/>
                    <w:tabs>
                      <w:tab w:val="left" w:pos="5670" w:leader="none"/>
                    </w:tabs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</w:tc>
            </w:tr>
          </w:tbl>
          <w:p>
            <w:pPr>
              <w:ind w:right="425"/>
              <w:spacing w:after="0"/>
              <w:tabs>
                <w:tab w:val="left" w:pos="5670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Абонента </w:t>
      </w: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участии в Акции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«П</w:t>
      </w:r>
      <w:r>
        <w:rPr>
          <w:rFonts w:ascii="Times New Roman" w:hAnsi="Times New Roman" w:cs="Times New Roman"/>
          <w:b/>
          <w:sz w:val="28"/>
          <w:szCs w:val="28"/>
        </w:rPr>
        <w:t xml:space="preserve">огаси долг по лицевому счету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67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дату оплаты</w:t>
      </w:r>
      <w:r>
        <w:rPr>
          <w:rFonts w:ascii="Times New Roman" w:hAnsi="Times New Roman" w:cs="Times New Roman"/>
          <w:b/>
          <w:sz w:val="28"/>
          <w:szCs w:val="28"/>
        </w:rPr>
        <w:t xml:space="preserve"> и ООО «Газпром межрегионгаз Черкесск» освободит от уплаты пени»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полным погашением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 за услуги </w:t>
      </w:r>
      <w:r>
        <w:rPr>
          <w:rFonts w:ascii="Times New Roman" w:hAnsi="Times New Roman" w:cs="Times New Roman"/>
          <w:sz w:val="28"/>
          <w:szCs w:val="28"/>
        </w:rPr>
        <w:t xml:space="preserve">газоснабжени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ИРГ, госпошлин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на дату оплаты,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прошу Вас в рамках Акции «</w:t>
      </w:r>
      <w:r>
        <w:rPr>
          <w:rFonts w:ascii="Times New Roman" w:hAnsi="Times New Roman" w:cs="Times New Roman"/>
          <w:sz w:val="28"/>
          <w:szCs w:val="28"/>
        </w:rPr>
        <w:t xml:space="preserve">Погаси долг</w:t>
      </w:r>
      <w:r>
        <w:rPr>
          <w:rFonts w:ascii="Times New Roman" w:hAnsi="Times New Roman" w:cs="Times New Roman"/>
          <w:sz w:val="28"/>
          <w:szCs w:val="28"/>
        </w:rPr>
        <w:t xml:space="preserve"> по лицевому счету на дату оплаты </w:t>
      </w:r>
      <w:r>
        <w:rPr>
          <w:rFonts w:ascii="Times New Roman" w:hAnsi="Times New Roman" w:cs="Times New Roman"/>
          <w:sz w:val="28"/>
          <w:szCs w:val="28"/>
        </w:rPr>
        <w:t xml:space="preserve">и ООО «Газпром межрегионгаз Черкесск» освободит от уплаты пени»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начислять пени,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оторые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обязан оплатить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«ООО Газпром межрегионгаз Черкесск»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просрочку оплаты коммунальных услуг, предоставленных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«ООО Газпром межрегионгаз Черкесск»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по день фактической оплаты просроченной задолженности по этим услугам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tabs>
          <w:tab w:val="left" w:pos="10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3852545</wp:posOffset>
                </wp:positionH>
                <wp:positionV relativeFrom="paragraph">
                  <wp:posOffset>59055</wp:posOffset>
                </wp:positionV>
                <wp:extent cx="196850" cy="165100"/>
                <wp:effectExtent l="0" t="0" r="12700" b="25400"/>
                <wp:wrapNone/>
                <wp:docPr id="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1" type="#_x0000_t1" style="position:absolute;z-index:251660288;o:allowoverlap:true;o:allowincell:true;mso-position-horizontal-relative:text;margin-left:303.35pt;mso-position-horizontal:absolute;mso-position-vertical-relative:text;margin-top:4.65pt;mso-position-vertical:absolute;width:15.50pt;height:13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Даю согласие на обра</w:t>
      </w:r>
      <w:r>
        <w:rPr>
          <w:rFonts w:ascii="Times New Roman" w:hAnsi="Times New Roman" w:cs="Times New Roman"/>
          <w:sz w:val="28"/>
          <w:szCs w:val="28"/>
        </w:rPr>
        <w:t xml:space="preserve">ботку персональных </w:t>
      </w:r>
      <w:r>
        <w:rPr>
          <w:rFonts w:ascii="Times New Roman" w:hAnsi="Times New Roman" w:cs="Times New Roman"/>
          <w:sz w:val="28"/>
          <w:szCs w:val="28"/>
        </w:rPr>
        <w:t xml:space="preserve">данных _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_______/_____________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_/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25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 xml:space="preserve">(Согласие на обработку является обязательным условием для участия в </w:t>
      </w:r>
      <w:r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 xml:space="preserve">Акции)  </w:t>
      </w:r>
      <w:r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 xml:space="preserve">           </w:t>
      </w:r>
      <w:r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 xml:space="preserve"> подпись</w:t>
      </w:r>
      <w:r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 xml:space="preserve">            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 xml:space="preserve">расшифровка</w:t>
      </w:r>
      <w:r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</w:t>
      </w:r>
      <w:r>
        <w:rPr>
          <w:rFonts w:ascii="Times New Roman" w:hAnsi="Times New Roman" w:cs="Times New Roman"/>
          <w:sz w:val="28"/>
          <w:szCs w:val="28"/>
        </w:rPr>
        <w:t xml:space="preserve">__________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одпись</w:t>
      </w:r>
      <w:r>
        <w:rPr>
          <w:rFonts w:ascii="Times New Roman" w:hAnsi="Times New Roman" w:cs="Times New Roman"/>
          <w:sz w:val="28"/>
          <w:szCs w:val="28"/>
        </w:rPr>
        <w:t xml:space="preserve"> заявителя </w:t>
      </w:r>
      <w:r>
        <w:rPr>
          <w:rFonts w:ascii="Times New Roman" w:hAnsi="Times New Roman" w:cs="Times New Roman"/>
          <w:sz w:val="28"/>
          <w:szCs w:val="28"/>
        </w:rPr>
        <w:t xml:space="preserve">____________/________________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_/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2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25"/>
        <w:jc w:val="both"/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З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аполняется сотрудником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«ООО Газпром межрегионгаз Черкесск»</w:t>
      </w:r>
      <w:r>
        <w:rPr>
          <w:rFonts w:ascii="Times New Roman" w:hAnsi="Times New Roman" w:cs="Times New Roman"/>
          <w:bCs/>
          <w:iCs/>
          <w:sz w:val="28"/>
          <w:szCs w:val="28"/>
        </w:rPr>
      </w:r>
      <w:r>
        <w:rPr>
          <w:rFonts w:ascii="Times New Roman" w:hAnsi="Times New Roman" w:cs="Times New Roman"/>
          <w:bCs/>
          <w:iCs/>
          <w:sz w:val="28"/>
          <w:szCs w:val="28"/>
        </w:rPr>
      </w:r>
    </w:p>
    <w:p>
      <w:pPr>
        <w:pStyle w:val="851"/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3127375</wp:posOffset>
                </wp:positionH>
                <wp:positionV relativeFrom="paragraph">
                  <wp:posOffset>8890</wp:posOffset>
                </wp:positionV>
                <wp:extent cx="196850" cy="165100"/>
                <wp:effectExtent l="0" t="0" r="12700" b="25400"/>
                <wp:wrapNone/>
                <wp:docPr id="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57216;o:allowoverlap:true;o:allowincell:true;mso-position-horizontal-relative:margin;margin-left:246.25pt;mso-position-horizontal:absolute;mso-position-vertical-relative:text;margin-top:0.70pt;mso-position-vertical:absolute;width:15.50pt;height:13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12065</wp:posOffset>
                </wp:positionV>
                <wp:extent cx="196850" cy="165100"/>
                <wp:effectExtent l="0" t="0" r="12700" b="25400"/>
                <wp:wrapNone/>
                <wp:docPr id="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8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58240;o:allowoverlap:true;o:allowincell:true;mso-position-horizontal-relative:text;margin-left:269.05pt;mso-position-horizontal:absolute;mso-position-vertical-relative:text;margin-top:0.95pt;mso-position-vertical:absolute;width:15.50pt;height:13.00pt;mso-wrap-distance-left:9.00pt;mso-wrap-distance-top:0.00pt;mso-wrap-distance-right:9.00pt;mso-wrap-distance-bottom:0.00pt;visibility:visible;" fillcolor="#FFFFFF" strokecolor="#000000" strokeweight="0.75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Документы получены в полном объеме        </w:t>
      </w:r>
      <w:r>
        <w:rPr>
          <w:rFonts w:ascii="Times New Roman" w:hAnsi="Times New Roman" w:cs="Times New Roman"/>
          <w:sz w:val="28"/>
          <w:szCs w:val="28"/>
        </w:rPr>
        <w:t xml:space="preserve">        ______________/____________/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 xml:space="preserve">                          </w:t>
      </w:r>
      <w:r>
        <w:rPr>
          <w:vertAlign w:val="superscript"/>
        </w:rPr>
        <w:t xml:space="preserve">        </w:t>
      </w:r>
      <w:r>
        <w:rPr>
          <w:vertAlign w:val="superscript"/>
        </w:rPr>
        <w:t xml:space="preserve"> </w:t>
      </w:r>
      <w:r>
        <w:rPr>
          <w:vertAlign w:val="superscript"/>
        </w:rPr>
        <w:t xml:space="preserve">                                                                                                      </w:t>
      </w:r>
      <w:r>
        <w:rPr>
          <w:vertAlign w:val="superscript"/>
        </w:rPr>
        <w:t xml:space="preserve">     </w:t>
      </w:r>
      <w:r>
        <w:rPr>
          <w:vertAlign w:val="superscript"/>
        </w:rPr>
        <w:t xml:space="preserve">                                 </w:t>
      </w:r>
      <w:r/>
    </w:p>
    <w:p>
      <w:r>
        <w:rPr>
          <w:vertAlign w:val="superscript"/>
        </w:rPr>
        <w:t xml:space="preserve">                                                                                                                                  </w:t>
      </w:r>
      <w:r>
        <w:rPr>
          <w:vertAlign w:val="superscript"/>
        </w:rPr>
        <w:t xml:space="preserve">         </w:t>
      </w:r>
      <w:r>
        <w:rPr>
          <w:vertAlign w:val="superscript"/>
        </w:rPr>
        <w:t xml:space="preserve">  </w:t>
      </w:r>
      <w:r>
        <w:rPr>
          <w:vertAlign w:val="superscript"/>
        </w:rPr>
        <w:t xml:space="preserve">                 </w:t>
      </w:r>
      <w:r>
        <w:rPr>
          <w:vertAlign w:val="superscript"/>
        </w:rPr>
        <w:t xml:space="preserve">Да       </w:t>
      </w:r>
      <w:r>
        <w:rPr>
          <w:vertAlign w:val="superscript"/>
        </w:rPr>
        <w:t xml:space="preserve">  Нет         </w:t>
      </w:r>
      <w:r>
        <w:rPr>
          <w:vertAlign w:val="superscript"/>
        </w:rPr>
        <w:t xml:space="preserve">         подпись   сотрудни</w:t>
      </w:r>
      <w:r>
        <w:rPr>
          <w:vertAlign w:val="superscript"/>
        </w:rPr>
        <w:t xml:space="preserve">ка                        </w:t>
      </w:r>
      <w:r>
        <w:rPr>
          <w:vertAlign w:val="superscript"/>
        </w:rPr>
        <w:t xml:space="preserve">       </w:t>
      </w:r>
      <w:r>
        <w:rPr>
          <w:vertAlign w:val="superscript"/>
        </w:rPr>
        <w:t xml:space="preserve">  ФИО</w:t>
      </w:r>
      <w:r/>
    </w:p>
    <w:sectPr>
      <w:footnotePr/>
      <w:endnotePr/>
      <w:type w:val="nextPage"/>
      <w:pgSz w:w="11906" w:h="16838" w:orient="portrait"/>
      <w:pgMar w:top="993" w:right="849" w:bottom="963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  <w:b/>
        <w:bCs/>
      </w:rPr>
    </w:lvl>
    <w:lvl w:ilvl="1">
      <w:start w:val="1"/>
      <w:numFmt w:val="decimal"/>
      <w:isLgl/>
      <w:suff w:val="tab"/>
      <w:lvlText w:val="%1.%2."/>
      <w:lvlJc w:val="left"/>
      <w:pPr>
        <w:ind w:left="8441" w:hanging="360"/>
      </w:pPr>
      <w:rPr>
        <w:rFonts w:hint="default"/>
        <w:b w:val="0"/>
        <w:bCs w:val="0"/>
      </w:rPr>
    </w:lvl>
    <w:lvl w:ilvl="2">
      <w:start w:val="1"/>
      <w:numFmt w:val="decimal"/>
      <w:isLgl/>
      <w:suff w:val="tab"/>
      <w:lvlText w:val="%1.%2.%3."/>
      <w:lvlJc w:val="left"/>
      <w:pPr>
        <w:ind w:left="64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6762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748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842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8562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8922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9642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pStyle w:val="842"/>
      <w:isLgl w:val="false"/>
      <w:suff w:val="tab"/>
      <w:lvlText w:val=""/>
      <w:lvlJc w:val="left"/>
      <w:pPr>
        <w:ind w:left="0" w:firstLine="709"/>
        <w:tabs>
          <w:tab w:val="num" w:pos="1069" w:leader="none"/>
        </w:tabs>
      </w:pPr>
      <w:rPr>
        <w:rFonts w:hint="default" w:ascii="Symbol" w:hAnsi="Symbol"/>
        <w:sz w:val="18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18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3"/>
    <w:link w:val="831"/>
    <w:uiPriority w:val="9"/>
    <w:rPr>
      <w:rFonts w:ascii="Arial" w:hAnsi="Arial" w:eastAsia="Arial" w:cs="Arial"/>
      <w:sz w:val="40"/>
      <w:szCs w:val="40"/>
    </w:rPr>
  </w:style>
  <w:style w:type="character" w:styleId="661">
    <w:name w:val="Heading 2 Char"/>
    <w:basedOn w:val="833"/>
    <w:link w:val="832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3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3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3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3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3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3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0"/>
    <w:next w:val="830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3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0"/>
    <w:next w:val="830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3"/>
    <w:link w:val="676"/>
    <w:uiPriority w:val="10"/>
    <w:rPr>
      <w:sz w:val="48"/>
      <w:szCs w:val="48"/>
    </w:rPr>
  </w:style>
  <w:style w:type="paragraph" w:styleId="678">
    <w:name w:val="Subtitle"/>
    <w:basedOn w:val="830"/>
    <w:next w:val="830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3"/>
    <w:link w:val="678"/>
    <w:uiPriority w:val="11"/>
    <w:rPr>
      <w:sz w:val="24"/>
      <w:szCs w:val="24"/>
    </w:rPr>
  </w:style>
  <w:style w:type="paragraph" w:styleId="680">
    <w:name w:val="Quote"/>
    <w:basedOn w:val="830"/>
    <w:next w:val="830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0"/>
    <w:next w:val="830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3"/>
    <w:link w:val="840"/>
    <w:uiPriority w:val="99"/>
  </w:style>
  <w:style w:type="character" w:styleId="685">
    <w:name w:val="Footer Char"/>
    <w:basedOn w:val="833"/>
    <w:link w:val="847"/>
    <w:uiPriority w:val="99"/>
  </w:style>
  <w:style w:type="paragraph" w:styleId="686">
    <w:name w:val="Caption"/>
    <w:basedOn w:val="830"/>
    <w:next w:val="83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847"/>
    <w:uiPriority w:val="99"/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3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3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831">
    <w:name w:val="Heading 1"/>
    <w:basedOn w:val="830"/>
    <w:next w:val="830"/>
    <w:link w:val="844"/>
    <w:uiPriority w:val="9"/>
    <w:qFormat/>
    <w:pPr>
      <w:keepLines/>
      <w:keepNext/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832">
    <w:name w:val="Heading 2"/>
    <w:basedOn w:val="830"/>
    <w:next w:val="830"/>
    <w:link w:val="839"/>
    <w:qFormat/>
    <w:pPr>
      <w:keepNext/>
      <w:spacing w:before="60" w:after="60" w:line="240" w:lineRule="auto"/>
      <w:outlineLvl w:val="1"/>
    </w:pPr>
    <w:rPr>
      <w:rFonts w:ascii="Arial" w:hAnsi="Arial" w:eastAsia="Times New Roman" w:cs="Times New Roman"/>
      <w:b/>
      <w:i/>
      <w:sz w:val="28"/>
      <w:szCs w:val="20"/>
      <w:lang w:val="en-US"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uiPriority w:val="99"/>
    <w:rPr>
      <w:color w:val="007ac2"/>
      <w:u w:val="single"/>
    </w:rPr>
  </w:style>
  <w:style w:type="paragraph" w:styleId="837">
    <w:name w:val="Normal (Web)"/>
    <w:basedOn w:val="830"/>
    <w:uiPriority w:val="99"/>
    <w:semiHidden/>
    <w:pPr>
      <w:spacing w:after="230" w:line="207" w:lineRule="atLeas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8">
    <w:name w:val="Strong"/>
    <w:basedOn w:val="833"/>
    <w:uiPriority w:val="99"/>
    <w:qFormat/>
    <w:rPr>
      <w:b/>
      <w:bCs/>
    </w:rPr>
  </w:style>
  <w:style w:type="character" w:styleId="839" w:customStyle="1">
    <w:name w:val="Заголовок 2 Знак"/>
    <w:basedOn w:val="833"/>
    <w:link w:val="832"/>
    <w:rPr>
      <w:rFonts w:ascii="Arial" w:hAnsi="Arial" w:eastAsia="Times New Roman" w:cs="Times New Roman"/>
      <w:b/>
      <w:i/>
      <w:sz w:val="28"/>
      <w:szCs w:val="20"/>
      <w:lang w:val="en-US" w:eastAsia="ru-RU"/>
    </w:rPr>
  </w:style>
  <w:style w:type="paragraph" w:styleId="840">
    <w:name w:val="Header"/>
    <w:basedOn w:val="830"/>
    <w:link w:val="841"/>
    <w:uiPriority w:val="99"/>
    <w:pPr>
      <w:spacing w:after="0" w:line="240" w:lineRule="auto"/>
      <w:tabs>
        <w:tab w:val="center" w:pos="4320" w:leader="none"/>
        <w:tab w:val="right" w:pos="8640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41" w:customStyle="1">
    <w:name w:val="Верхний колонтитул Знак"/>
    <w:basedOn w:val="833"/>
    <w:link w:val="84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2" w:customStyle="1">
    <w:name w:val="обычный отступ 2"/>
    <w:basedOn w:val="830"/>
    <w:pPr>
      <w:numPr>
        <w:ilvl w:val="0"/>
        <w:numId w:val="2"/>
      </w:numPr>
      <w:jc w:val="both"/>
      <w:spacing w:after="0" w:line="240" w:lineRule="auto"/>
    </w:pPr>
    <w:rPr>
      <w:rFonts w:ascii="Arial" w:hAnsi="Arial" w:eastAsia="Times New Roman" w:cs="Times New Roman"/>
      <w:sz w:val="28"/>
      <w:szCs w:val="24"/>
      <w:lang w:eastAsia="ru-RU"/>
    </w:rPr>
  </w:style>
  <w:style w:type="paragraph" w:styleId="843">
    <w:name w:val="List Paragraph"/>
    <w:basedOn w:val="830"/>
    <w:uiPriority w:val="34"/>
    <w:qFormat/>
    <w:pPr>
      <w:ind w:left="720"/>
    </w:pPr>
  </w:style>
  <w:style w:type="character" w:styleId="844" w:customStyle="1">
    <w:name w:val="Заголовок 1 Знак"/>
    <w:basedOn w:val="833"/>
    <w:link w:val="831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845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table" w:styleId="846">
    <w:name w:val="Table Grid"/>
    <w:basedOn w:val="83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7">
    <w:name w:val="Footer"/>
    <w:basedOn w:val="830"/>
    <w:link w:val="8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8" w:customStyle="1">
    <w:name w:val="Нижний колонтитул Знак"/>
    <w:basedOn w:val="833"/>
    <w:link w:val="847"/>
    <w:uiPriority w:val="99"/>
    <w:rPr>
      <w:rFonts w:ascii="Calibri" w:hAnsi="Calibri" w:eastAsia="Calibri" w:cs="Calibri"/>
    </w:rPr>
  </w:style>
  <w:style w:type="paragraph" w:styleId="849">
    <w:name w:val="Balloon Text"/>
    <w:basedOn w:val="830"/>
    <w:link w:val="85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0" w:customStyle="1">
    <w:name w:val="Текст выноски Знак"/>
    <w:basedOn w:val="833"/>
    <w:link w:val="849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51">
    <w:name w:val="No Spacing"/>
    <w:uiPriority w:val="1"/>
    <w:qFormat/>
    <w:rPr>
      <w:rFonts w:cs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rgkch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Нижегородский водоканал, ОАО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Зефиров Михаил Вадимович</dc:creator>
  <cp:keywords/>
  <dc:description/>
  <cp:lastModifiedBy>user</cp:lastModifiedBy>
  <cp:revision>40</cp:revision>
  <dcterms:created xsi:type="dcterms:W3CDTF">2022-12-02T07:35:00Z</dcterms:created>
  <dcterms:modified xsi:type="dcterms:W3CDTF">2025-10-02T09:17:44Z</dcterms:modified>
</cp:coreProperties>
</file>